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193" w:hanging="72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დანართი 4</w:t>
      </w:r>
    </w:p>
    <w:p w:rsidR="00000000" w:rsidDel="00000000" w:rsidP="00000000" w:rsidRDefault="00000000" w:rsidRPr="00000000" w14:paraId="00000001">
      <w:pPr>
        <w:ind w:left="426" w:right="193"/>
        <w:jc w:val="center"/>
        <w:rPr>
          <w:b w:val="1"/>
          <w:color w:val="2f549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f5496"/>
          <w:rtl w:val="0"/>
        </w:rPr>
        <w:t xml:space="preserve">ჯგუფური სამუშაოს შეფასების რუბრიკა</w:t>
      </w:r>
    </w:p>
    <w:tbl>
      <w:tblPr>
        <w:tblStyle w:val="Table1"/>
        <w:tblW w:w="100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9"/>
        <w:gridCol w:w="2412"/>
        <w:gridCol w:w="2740"/>
        <w:gridCol w:w="2125"/>
        <w:tblGridChange w:id="0">
          <w:tblGrid>
            <w:gridCol w:w="2799"/>
            <w:gridCol w:w="2412"/>
            <w:gridCol w:w="2740"/>
            <w:gridCol w:w="2125"/>
          </w:tblGrid>
        </w:tblGridChange>
      </w:tblGrid>
      <w:tr>
        <w:trPr>
          <w:trHeight w:val="104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ind w:left="426" w:right="193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კრიტერიუმები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ind w:left="208"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ჯგუფის მუშაობა წარუმატებელია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4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ჯგუფის მუშაობა დამაკმაყოფილებელია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ჯგუფის მუშაობა წარმატებულია</w:t>
            </w:r>
          </w:p>
        </w:tc>
      </w:tr>
      <w:tr>
        <w:trPr>
          <w:trHeight w:val="268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ind w:right="193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ჯგუფის მიერ სამუშაოს ორგანიზება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სამუშაო არ იყო ორგანიზებული, ჯგუფის წევრებს შორის სამუშაო არ იყო განაწილებული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სამუშაო ორგანიზებული  იყო, მაგრამ ჯგუფის წევრებს  შორის  არათანაბრად გადანაწილდა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სამუშაო კარგად იყო ორგანიზებული, ჯგუფის წევრებს შორის სამუშაო თანაბრად გადანაწილდა</w:t>
            </w:r>
          </w:p>
        </w:tc>
      </w:tr>
      <w:tr>
        <w:trPr>
          <w:trHeight w:val="186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A">
            <w:pPr>
              <w:ind w:right="193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ჩართულობა/</w:t>
            </w:r>
          </w:p>
          <w:p w:rsidR="00000000" w:rsidDel="00000000" w:rsidP="00000000" w:rsidRDefault="00000000" w:rsidRPr="00000000" w14:paraId="0000000B">
            <w:pPr>
              <w:ind w:right="193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დავალების შესრულება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ჯგუფის ერთ (ორი) წევრი აქტიურობდა და ასრულებდა დავალებას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ჯგუფის თითქმის ყველა წევრი აქტიურობდა და ასრულებდა დავალებას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ჯგუფის  ყველა წევრი აქტიურობდა და ასრულებდა დავალებას</w:t>
            </w:r>
          </w:p>
        </w:tc>
      </w:tr>
      <w:tr>
        <w:trPr>
          <w:trHeight w:val="208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F">
            <w:pPr>
              <w:ind w:right="193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ურთიერთმოსმენისა და აზრის გაზიარების უნარი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კამათობენ, არ უსმენენ ერთმანეთს, არის ხმაური. არ იზიარებენ ერთმანეთის აზრს.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ხმაურობენ, ნაკლებად იზიარებენ ერთმანეთის  აზრს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უსმენენ ერთმანეთს და იზიარებენ ერთმანეთის  აზრს</w:t>
            </w:r>
          </w:p>
        </w:tc>
      </w:tr>
      <w:tr>
        <w:trPr>
          <w:trHeight w:val="126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ind w:right="193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დროის ლიმიტის დაცვა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ვერ ეტევიან  განსაზღვრულ დროში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უმნიშვნელოდ გადააცდინეს  დროს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ind w:right="193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დაიცვეს დროის ლიმიტი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193" w:hanging="72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340" w:w="12240"/>
      <w:pgMar w:bottom="0" w:top="1400" w:left="1245" w:right="102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160" w:before="0" w:line="259" w:lineRule="auto"/>
      <w:ind w:left="0" w:right="0" w:firstLine="0"/>
      <w:jc w:val="left"/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Unicode MS" w:cs="Arial Unicode MS" w:eastAsia="Arial Unicode MS" w:hAnsi="Arial Unicode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ავტორი: ხათუნა გოგალაძე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Unicode MS" w:cs="Arial Unicode MS" w:eastAsia="Arial Unicode MS" w:hAnsi="Arial Unicode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რედაქტორები: თამარ მოსიაშვილი, ეკატერინე ქუთათელაძე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sz w:val="22"/>
        <w:szCs w:val="22"/>
        <w:lang w:val="ka-G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